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Default="005543E5" w:rsidP="008A22C6">
      <w:pPr>
        <w:rPr>
          <w:b/>
        </w:rPr>
      </w:pPr>
      <w:r>
        <w:rPr>
          <w:b/>
        </w:rPr>
        <w:t>Appendix A: Breakdown of Scrutiny recommendations 2022/23</w:t>
      </w:r>
    </w:p>
    <w:p w:rsidR="005543E5" w:rsidRDefault="005543E5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164"/>
        <w:gridCol w:w="4330"/>
        <w:gridCol w:w="2600"/>
        <w:gridCol w:w="1084"/>
        <w:gridCol w:w="1149"/>
        <w:gridCol w:w="1091"/>
      </w:tblGrid>
      <w:tr w:rsidR="007A5904" w:rsidRPr="007A5904" w:rsidTr="005543E5">
        <w:tc>
          <w:tcPr>
            <w:tcW w:w="1530" w:type="dxa"/>
          </w:tcPr>
          <w:p w:rsidR="005543E5" w:rsidRPr="007A5904" w:rsidRDefault="005543E5" w:rsidP="00812A5E">
            <w:pPr>
              <w:rPr>
                <w:b/>
              </w:rPr>
            </w:pPr>
            <w:r w:rsidRPr="007A5904">
              <w:rPr>
                <w:b/>
              </w:rPr>
              <w:t>Meeting date</w:t>
            </w:r>
          </w:p>
        </w:tc>
        <w:tc>
          <w:tcPr>
            <w:tcW w:w="2164" w:type="dxa"/>
          </w:tcPr>
          <w:p w:rsidR="005543E5" w:rsidRPr="007A5904" w:rsidRDefault="005543E5" w:rsidP="005543E5">
            <w:pPr>
              <w:rPr>
                <w:b/>
              </w:rPr>
            </w:pPr>
            <w:r w:rsidRPr="007A5904">
              <w:rPr>
                <w:b/>
              </w:rPr>
              <w:t>Committee/Panel</w:t>
            </w:r>
          </w:p>
        </w:tc>
        <w:tc>
          <w:tcPr>
            <w:tcW w:w="4330" w:type="dxa"/>
          </w:tcPr>
          <w:p w:rsidR="005543E5" w:rsidRPr="007A5904" w:rsidRDefault="005543E5" w:rsidP="005543E5">
            <w:pPr>
              <w:rPr>
                <w:b/>
              </w:rPr>
            </w:pPr>
            <w:r w:rsidRPr="007A5904">
              <w:rPr>
                <w:b/>
              </w:rPr>
              <w:t>Report title</w:t>
            </w:r>
          </w:p>
        </w:tc>
        <w:tc>
          <w:tcPr>
            <w:tcW w:w="2600" w:type="dxa"/>
          </w:tcPr>
          <w:p w:rsidR="005543E5" w:rsidRPr="007A5904" w:rsidRDefault="005543E5" w:rsidP="00812A5E">
            <w:pPr>
              <w:rPr>
                <w:b/>
              </w:rPr>
            </w:pPr>
            <w:r w:rsidRPr="007A5904">
              <w:rPr>
                <w:b/>
              </w:rPr>
              <w:t>Number of recommendations made</w:t>
            </w:r>
          </w:p>
        </w:tc>
        <w:tc>
          <w:tcPr>
            <w:tcW w:w="1084" w:type="dxa"/>
          </w:tcPr>
          <w:p w:rsidR="005543E5" w:rsidRPr="007A5904" w:rsidRDefault="005543E5" w:rsidP="00812A5E">
            <w:pPr>
              <w:rPr>
                <w:b/>
              </w:rPr>
            </w:pPr>
            <w:r w:rsidRPr="007A5904">
              <w:rPr>
                <w:b/>
              </w:rPr>
              <w:t>Agreed</w:t>
            </w:r>
          </w:p>
        </w:tc>
        <w:tc>
          <w:tcPr>
            <w:tcW w:w="1149" w:type="dxa"/>
          </w:tcPr>
          <w:p w:rsidR="005543E5" w:rsidRPr="007A5904" w:rsidRDefault="005543E5" w:rsidP="00812A5E">
            <w:pPr>
              <w:rPr>
                <w:b/>
              </w:rPr>
            </w:pPr>
            <w:r w:rsidRPr="007A5904">
              <w:rPr>
                <w:b/>
              </w:rPr>
              <w:t>Agreed in part</w:t>
            </w:r>
          </w:p>
        </w:tc>
        <w:tc>
          <w:tcPr>
            <w:tcW w:w="1091" w:type="dxa"/>
          </w:tcPr>
          <w:p w:rsidR="005543E5" w:rsidRPr="007A5904" w:rsidRDefault="005543E5" w:rsidP="00812A5E">
            <w:pPr>
              <w:rPr>
                <w:b/>
              </w:rPr>
            </w:pPr>
            <w:r w:rsidRPr="007A5904">
              <w:rPr>
                <w:b/>
              </w:rPr>
              <w:t>Not agreed</w:t>
            </w:r>
          </w:p>
        </w:tc>
      </w:tr>
      <w:tr w:rsidR="007A5904" w:rsidRPr="007A5904" w:rsidTr="00A825A4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08 June 2022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Oxford’s Economic Strategy – Consutlation Report and Recommendations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9*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A5904" w:rsidRPr="007A5904" w:rsidRDefault="007A5904" w:rsidP="00812A5E">
            <w:pPr>
              <w:rPr>
                <w:highlight w:val="yellow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A825A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City Centre Action Plan (Draft) – Consultation Report and Recommendations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4*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A5904" w:rsidRPr="007A5904" w:rsidRDefault="007A5904" w:rsidP="00812A5E">
            <w:pPr>
              <w:rPr>
                <w:highlight w:val="yellow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A8099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Waterways Update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4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3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</w:tcPr>
          <w:p w:rsidR="007A5904" w:rsidRPr="007A5904" w:rsidRDefault="007A5904" w:rsidP="00812A5E">
            <w:r w:rsidRPr="007A5904">
              <w:t>1</w:t>
            </w:r>
          </w:p>
        </w:tc>
      </w:tr>
      <w:tr w:rsidR="007A5904" w:rsidRPr="007A5904" w:rsidTr="00A80990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05 July 2022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Oxford City Council Safeguarding Report 2021/22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5543E5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Oxford City Council’s Electric Vehicle Infrastructure Strategy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3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91" w:type="dxa"/>
          </w:tcPr>
          <w:p w:rsidR="007A5904" w:rsidRPr="007A5904" w:rsidRDefault="007A5904" w:rsidP="00812A5E">
            <w:r w:rsidRPr="007A5904">
              <w:t>1</w:t>
            </w:r>
          </w:p>
        </w:tc>
      </w:tr>
      <w:tr w:rsidR="007A5904" w:rsidRPr="007A5904" w:rsidTr="00A8099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Growth Fund Cycle Routes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2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2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A80990">
        <w:tc>
          <w:tcPr>
            <w:tcW w:w="1530" w:type="dxa"/>
          </w:tcPr>
          <w:p w:rsidR="005543E5" w:rsidRPr="007A5904" w:rsidRDefault="005543E5" w:rsidP="00812A5E">
            <w:r w:rsidRPr="007A5904">
              <w:t>02 August 2022</w:t>
            </w:r>
          </w:p>
        </w:tc>
        <w:tc>
          <w:tcPr>
            <w:tcW w:w="2164" w:type="dxa"/>
          </w:tcPr>
          <w:p w:rsidR="005543E5" w:rsidRPr="007A5904" w:rsidRDefault="005543E5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5543E5" w:rsidRPr="007A5904" w:rsidRDefault="005543E5" w:rsidP="00812A5E">
            <w:r w:rsidRPr="007A5904">
              <w:t>Asset Management Strategy 2021-2031</w:t>
            </w:r>
          </w:p>
        </w:tc>
        <w:tc>
          <w:tcPr>
            <w:tcW w:w="2600" w:type="dxa"/>
          </w:tcPr>
          <w:p w:rsidR="005543E5" w:rsidRPr="007A5904" w:rsidRDefault="005543E5" w:rsidP="00812A5E">
            <w:r w:rsidRPr="007A5904">
              <w:t>6</w:t>
            </w:r>
          </w:p>
        </w:tc>
        <w:tc>
          <w:tcPr>
            <w:tcW w:w="1084" w:type="dxa"/>
          </w:tcPr>
          <w:p w:rsidR="005543E5" w:rsidRPr="007A5904" w:rsidRDefault="00A825A4" w:rsidP="00812A5E">
            <w:pPr>
              <w:rPr>
                <w:highlight w:val="yellow"/>
              </w:rPr>
            </w:pPr>
            <w:r w:rsidRPr="007A5904">
              <w:t>4</w:t>
            </w:r>
          </w:p>
        </w:tc>
        <w:tc>
          <w:tcPr>
            <w:tcW w:w="1149" w:type="dxa"/>
          </w:tcPr>
          <w:p w:rsidR="005543E5" w:rsidRPr="007A5904" w:rsidRDefault="00A825A4" w:rsidP="00812A5E">
            <w:r w:rsidRPr="007A5904">
              <w:t>2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543E5" w:rsidRPr="007A5904" w:rsidRDefault="005543E5" w:rsidP="00812A5E"/>
        </w:tc>
      </w:tr>
      <w:tr w:rsidR="007A5904" w:rsidRPr="007A5904" w:rsidTr="00A80990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06 September 2022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Oxford Local Plan 2040 Preferred Options Regulation 18 Consultation Document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12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12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A8099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5543E5">
            <w:r w:rsidRPr="007A5904">
              <w:t xml:space="preserve">Lease of Council Office Accommodation at St </w:t>
            </w:r>
            <w:proofErr w:type="spellStart"/>
            <w:r w:rsidRPr="007A5904">
              <w:t>Aldate’s</w:t>
            </w:r>
            <w:proofErr w:type="spellEnd"/>
            <w:r w:rsidRPr="007A5904">
              <w:t xml:space="preserve"> Chambers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06FDA" w:rsidRPr="007A5904" w:rsidTr="00A80990">
        <w:tc>
          <w:tcPr>
            <w:tcW w:w="1530" w:type="dxa"/>
          </w:tcPr>
          <w:p w:rsidR="00706FDA" w:rsidRPr="007A5904" w:rsidRDefault="00706FDA" w:rsidP="00812A5E">
            <w:r w:rsidRPr="007A5904">
              <w:t>06 October 2022</w:t>
            </w:r>
          </w:p>
        </w:tc>
        <w:tc>
          <w:tcPr>
            <w:tcW w:w="2164" w:type="dxa"/>
          </w:tcPr>
          <w:p w:rsidR="00706FDA" w:rsidRPr="007A5904" w:rsidRDefault="00706FDA" w:rsidP="00812A5E">
            <w:r w:rsidRPr="007A5904">
              <w:t>Housing and Homelessness Panel</w:t>
            </w:r>
          </w:p>
        </w:tc>
        <w:tc>
          <w:tcPr>
            <w:tcW w:w="4330" w:type="dxa"/>
          </w:tcPr>
          <w:p w:rsidR="00706FDA" w:rsidRPr="007A5904" w:rsidRDefault="00706FDA" w:rsidP="005543E5">
            <w:r w:rsidRPr="007A5904">
              <w:t>Draft Housing, Homelessness and Rough Sleeping Strategy</w:t>
            </w:r>
          </w:p>
        </w:tc>
        <w:tc>
          <w:tcPr>
            <w:tcW w:w="2600" w:type="dxa"/>
          </w:tcPr>
          <w:p w:rsidR="00706FDA" w:rsidRPr="007A5904" w:rsidRDefault="00706FDA" w:rsidP="00812A5E">
            <w:r w:rsidRPr="007A5904">
              <w:t>5</w:t>
            </w:r>
          </w:p>
        </w:tc>
        <w:tc>
          <w:tcPr>
            <w:tcW w:w="1084" w:type="dxa"/>
          </w:tcPr>
          <w:p w:rsidR="00706FDA" w:rsidRPr="007A5904" w:rsidRDefault="00A825A4" w:rsidP="00812A5E">
            <w:pPr>
              <w:rPr>
                <w:highlight w:val="yellow"/>
              </w:rPr>
            </w:pPr>
            <w:r w:rsidRPr="007A5904">
              <w:t>5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06FDA" w:rsidRPr="007A5904" w:rsidRDefault="00706FDA" w:rsidP="00812A5E"/>
        </w:tc>
        <w:tc>
          <w:tcPr>
            <w:tcW w:w="1091" w:type="dxa"/>
            <w:shd w:val="clear" w:color="auto" w:fill="D9D9D9" w:themeFill="background1" w:themeFillShade="D9"/>
          </w:tcPr>
          <w:p w:rsidR="00706FDA" w:rsidRPr="007A5904" w:rsidRDefault="00706FDA" w:rsidP="00812A5E"/>
        </w:tc>
      </w:tr>
      <w:tr w:rsidR="007A5904" w:rsidRPr="007A5904" w:rsidTr="00A80990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11 October 2022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 xml:space="preserve">Development Brief for </w:t>
            </w:r>
            <w:proofErr w:type="spellStart"/>
            <w:r w:rsidRPr="007A5904">
              <w:t>Botley</w:t>
            </w:r>
            <w:proofErr w:type="spellEnd"/>
            <w:r w:rsidRPr="007A5904">
              <w:t xml:space="preserve"> Road Retail Park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2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2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2577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UK Shared Prosperity Fund Investment Plan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3*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A5904" w:rsidRPr="007A5904" w:rsidRDefault="007A5904" w:rsidP="00812A5E">
            <w:pPr>
              <w:rPr>
                <w:highlight w:val="yellow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A80990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lastRenderedPageBreak/>
              <w:t>07 November 2022</w:t>
            </w:r>
          </w:p>
        </w:tc>
        <w:tc>
          <w:tcPr>
            <w:tcW w:w="2164" w:type="dxa"/>
            <w:vMerge w:val="restart"/>
          </w:tcPr>
          <w:p w:rsidR="007A5904" w:rsidRPr="007A5904" w:rsidRDefault="00850290" w:rsidP="00812A5E">
            <w:r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Procurement Strategy 2022-2025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6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6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2577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706FDA">
            <w:r w:rsidRPr="007A5904">
              <w:t>Social Housing Decarbonisation Fund Wave 2.1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1*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A5904" w:rsidRPr="007A5904" w:rsidRDefault="007A5904" w:rsidP="00812A5E">
            <w:pPr>
              <w:rPr>
                <w:highlight w:val="yellow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25770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 xml:space="preserve">West End and </w:t>
            </w:r>
            <w:proofErr w:type="spellStart"/>
            <w:r w:rsidRPr="007A5904">
              <w:t>Osney</w:t>
            </w:r>
            <w:proofErr w:type="spellEnd"/>
            <w:r w:rsidRPr="007A5904">
              <w:t xml:space="preserve"> Mead SPD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7*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A5904" w:rsidRPr="007A5904" w:rsidRDefault="007A5904" w:rsidP="00812A5E">
            <w:pPr>
              <w:rPr>
                <w:highlight w:val="yellow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05 December 2022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Thriving Communities Strategy 2023-2027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2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2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Grant Allocations to Community and Voluntary Organisations 2023/24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Authority Monitoring Report and Infrastructure Funding Statement 2021/22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Workplace Equalities and Action Plan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4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4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</w:tcPr>
          <w:p w:rsidR="007A5904" w:rsidRPr="007A5904" w:rsidRDefault="007A5904" w:rsidP="00812A5E">
            <w:r w:rsidRPr="007A5904">
              <w:t>16 January 2023</w:t>
            </w:r>
          </w:p>
        </w:tc>
        <w:tc>
          <w:tcPr>
            <w:tcW w:w="2164" w:type="dxa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706FDA">
            <w:pPr>
              <w:rPr>
                <w:i/>
              </w:rPr>
            </w:pPr>
            <w:r w:rsidRPr="007A5904">
              <w:t xml:space="preserve">Disciplinary Policy 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01 February 2023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Implementing the Covered Market ‘Masterplan’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Budget Review Group Report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11</w:t>
            </w:r>
          </w:p>
        </w:tc>
        <w:tc>
          <w:tcPr>
            <w:tcW w:w="1084" w:type="dxa"/>
          </w:tcPr>
          <w:p w:rsidR="007A5904" w:rsidRPr="007A5904" w:rsidRDefault="007A5904" w:rsidP="00812A5E">
            <w:r w:rsidRPr="007A5904">
              <w:t>10</w:t>
            </w:r>
          </w:p>
        </w:tc>
        <w:tc>
          <w:tcPr>
            <w:tcW w:w="1149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06 March 2023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Scrutiny Committee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Annual Update of the Council’s Business Plan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3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3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Integrated Care Strategy Update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5</w:t>
            </w:r>
          </w:p>
        </w:tc>
        <w:tc>
          <w:tcPr>
            <w:tcW w:w="1084" w:type="dxa"/>
          </w:tcPr>
          <w:p w:rsidR="007A5904" w:rsidRPr="007A5904" w:rsidRDefault="007A5904" w:rsidP="00812A5E">
            <w:r w:rsidRPr="007A5904">
              <w:t>4</w:t>
            </w:r>
          </w:p>
        </w:tc>
        <w:tc>
          <w:tcPr>
            <w:tcW w:w="1149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Integrated Performance Report for Q3 2022/23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 w:val="restart"/>
          </w:tcPr>
          <w:p w:rsidR="007A5904" w:rsidRPr="007A5904" w:rsidRDefault="007A5904" w:rsidP="00812A5E">
            <w:r w:rsidRPr="007A5904">
              <w:t>09 March 2023</w:t>
            </w:r>
          </w:p>
        </w:tc>
        <w:tc>
          <w:tcPr>
            <w:tcW w:w="2164" w:type="dxa"/>
            <w:vMerge w:val="restart"/>
          </w:tcPr>
          <w:p w:rsidR="007A5904" w:rsidRPr="007A5904" w:rsidRDefault="007A5904" w:rsidP="00812A5E">
            <w:r w:rsidRPr="007A5904">
              <w:t>Climate and Environment Panel</w:t>
            </w:r>
          </w:p>
        </w:tc>
        <w:tc>
          <w:tcPr>
            <w:tcW w:w="4330" w:type="dxa"/>
          </w:tcPr>
          <w:p w:rsidR="007A5904" w:rsidRPr="007A5904" w:rsidRDefault="007A5904" w:rsidP="00812A5E">
            <w:r w:rsidRPr="007A5904">
              <w:t>Development of a Biodiversity Strategy for Oxford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7</w:t>
            </w:r>
          </w:p>
        </w:tc>
        <w:tc>
          <w:tcPr>
            <w:tcW w:w="1084" w:type="dxa"/>
          </w:tcPr>
          <w:p w:rsidR="007A5904" w:rsidRPr="007A5904" w:rsidRDefault="007A5904" w:rsidP="00812A5E">
            <w:r w:rsidRPr="007A5904">
              <w:t>3</w:t>
            </w:r>
          </w:p>
        </w:tc>
        <w:tc>
          <w:tcPr>
            <w:tcW w:w="1149" w:type="dxa"/>
          </w:tcPr>
          <w:p w:rsidR="007A5904" w:rsidRPr="007A5904" w:rsidRDefault="007A5904" w:rsidP="00812A5E">
            <w:r w:rsidRPr="007A5904">
              <w:t>4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  <w:vMerge/>
          </w:tcPr>
          <w:p w:rsidR="007A5904" w:rsidRPr="007A5904" w:rsidRDefault="007A5904" w:rsidP="00812A5E"/>
        </w:tc>
        <w:tc>
          <w:tcPr>
            <w:tcW w:w="2164" w:type="dxa"/>
            <w:vMerge/>
          </w:tcPr>
          <w:p w:rsidR="007A5904" w:rsidRPr="007A5904" w:rsidRDefault="007A5904" w:rsidP="00812A5E"/>
        </w:tc>
        <w:tc>
          <w:tcPr>
            <w:tcW w:w="4330" w:type="dxa"/>
          </w:tcPr>
          <w:p w:rsidR="007A5904" w:rsidRPr="007A5904" w:rsidRDefault="007A5904" w:rsidP="00812A5E">
            <w:r w:rsidRPr="007A5904">
              <w:t>Fleet Decarbonisation</w:t>
            </w:r>
          </w:p>
        </w:tc>
        <w:tc>
          <w:tcPr>
            <w:tcW w:w="2600" w:type="dxa"/>
          </w:tcPr>
          <w:p w:rsidR="007A5904" w:rsidRPr="007A5904" w:rsidRDefault="007A5904" w:rsidP="00812A5E">
            <w:r w:rsidRPr="007A5904">
              <w:t>1</w:t>
            </w:r>
          </w:p>
        </w:tc>
        <w:tc>
          <w:tcPr>
            <w:tcW w:w="1084" w:type="dxa"/>
          </w:tcPr>
          <w:p w:rsidR="007A5904" w:rsidRPr="007A5904" w:rsidRDefault="007A590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A5904" w:rsidRPr="007A5904" w:rsidRDefault="007A5904" w:rsidP="00812A5E"/>
        </w:tc>
        <w:tc>
          <w:tcPr>
            <w:tcW w:w="1091" w:type="dxa"/>
            <w:shd w:val="clear" w:color="auto" w:fill="D9D9D9" w:themeFill="background1" w:themeFillShade="D9"/>
          </w:tcPr>
          <w:p w:rsidR="007A5904" w:rsidRPr="007A5904" w:rsidRDefault="007A5904" w:rsidP="00812A5E"/>
        </w:tc>
      </w:tr>
      <w:tr w:rsidR="007A5904" w:rsidRPr="007A5904" w:rsidTr="007A5904">
        <w:tc>
          <w:tcPr>
            <w:tcW w:w="1530" w:type="dxa"/>
          </w:tcPr>
          <w:p w:rsidR="00A825A4" w:rsidRPr="007A5904" w:rsidRDefault="00A825A4" w:rsidP="00812A5E">
            <w:r w:rsidRPr="007A5904">
              <w:t>13 March 2023</w:t>
            </w:r>
          </w:p>
        </w:tc>
        <w:tc>
          <w:tcPr>
            <w:tcW w:w="2164" w:type="dxa"/>
          </w:tcPr>
          <w:p w:rsidR="00A825A4" w:rsidRPr="007A5904" w:rsidRDefault="00A825A4" w:rsidP="00812A5E">
            <w:r w:rsidRPr="007A5904">
              <w:t>Housing and Homelessness Panel</w:t>
            </w:r>
          </w:p>
        </w:tc>
        <w:tc>
          <w:tcPr>
            <w:tcW w:w="4330" w:type="dxa"/>
          </w:tcPr>
          <w:p w:rsidR="00A825A4" w:rsidRPr="007A5904" w:rsidRDefault="00A825A4" w:rsidP="00812A5E">
            <w:r w:rsidRPr="007A5904">
              <w:t>Housing, Homelessness and Rough Sleeping Strategy</w:t>
            </w:r>
          </w:p>
        </w:tc>
        <w:tc>
          <w:tcPr>
            <w:tcW w:w="2600" w:type="dxa"/>
          </w:tcPr>
          <w:p w:rsidR="00A825A4" w:rsidRPr="007A5904" w:rsidRDefault="00A825A4" w:rsidP="00812A5E">
            <w:r w:rsidRPr="007A5904">
              <w:t>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A825A4" w:rsidRPr="007A5904" w:rsidRDefault="00A825A4" w:rsidP="00812A5E">
            <w:pPr>
              <w:rPr>
                <w:highlight w:val="yellow"/>
              </w:rPr>
            </w:pPr>
          </w:p>
        </w:tc>
        <w:tc>
          <w:tcPr>
            <w:tcW w:w="1149" w:type="dxa"/>
          </w:tcPr>
          <w:p w:rsidR="00A825A4" w:rsidRPr="007A5904" w:rsidRDefault="00725770" w:rsidP="00812A5E">
            <w:r w:rsidRPr="007A5904">
              <w:t>1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5A4" w:rsidRPr="007A5904" w:rsidRDefault="00A825A4" w:rsidP="00812A5E"/>
        </w:tc>
      </w:tr>
      <w:tr w:rsidR="007A5904" w:rsidRPr="007A5904" w:rsidTr="007A5904">
        <w:tc>
          <w:tcPr>
            <w:tcW w:w="1530" w:type="dxa"/>
          </w:tcPr>
          <w:p w:rsidR="00A825A4" w:rsidRPr="007A5904" w:rsidRDefault="00A825A4" w:rsidP="00812A5E">
            <w:r w:rsidRPr="007A5904">
              <w:t>24 April 2023</w:t>
            </w:r>
          </w:p>
        </w:tc>
        <w:tc>
          <w:tcPr>
            <w:tcW w:w="2164" w:type="dxa"/>
          </w:tcPr>
          <w:p w:rsidR="00A825A4" w:rsidRPr="007A5904" w:rsidRDefault="00A825A4" w:rsidP="00812A5E">
            <w:r w:rsidRPr="007A5904">
              <w:t>Housing and Homelessness Panel</w:t>
            </w:r>
          </w:p>
        </w:tc>
        <w:tc>
          <w:tcPr>
            <w:tcW w:w="4330" w:type="dxa"/>
          </w:tcPr>
          <w:p w:rsidR="00A825A4" w:rsidRPr="007A5904" w:rsidRDefault="00A825A4" w:rsidP="00812A5E">
            <w:r w:rsidRPr="007A5904">
              <w:t>Tenancy Agreem</w:t>
            </w:r>
            <w:bookmarkStart w:id="0" w:name="_GoBack"/>
            <w:bookmarkEnd w:id="0"/>
            <w:r w:rsidRPr="007A5904">
              <w:t>ent</w:t>
            </w:r>
          </w:p>
        </w:tc>
        <w:tc>
          <w:tcPr>
            <w:tcW w:w="2600" w:type="dxa"/>
          </w:tcPr>
          <w:p w:rsidR="00A825A4" w:rsidRPr="007A5904" w:rsidRDefault="00A825A4" w:rsidP="00812A5E">
            <w:r w:rsidRPr="007A5904">
              <w:t>1</w:t>
            </w:r>
          </w:p>
        </w:tc>
        <w:tc>
          <w:tcPr>
            <w:tcW w:w="1084" w:type="dxa"/>
          </w:tcPr>
          <w:p w:rsidR="00A825A4" w:rsidRPr="007A5904" w:rsidRDefault="00A825A4" w:rsidP="00812A5E">
            <w:pPr>
              <w:rPr>
                <w:highlight w:val="yellow"/>
              </w:rPr>
            </w:pPr>
            <w:r w:rsidRPr="007A5904">
              <w:t>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A825A4" w:rsidRPr="007A5904" w:rsidRDefault="00A825A4" w:rsidP="00812A5E"/>
        </w:tc>
        <w:tc>
          <w:tcPr>
            <w:tcW w:w="1091" w:type="dxa"/>
            <w:shd w:val="clear" w:color="auto" w:fill="D9D9D9" w:themeFill="background1" w:themeFillShade="D9"/>
          </w:tcPr>
          <w:p w:rsidR="00A825A4" w:rsidRPr="007A5904" w:rsidRDefault="00A825A4" w:rsidP="00812A5E"/>
        </w:tc>
      </w:tr>
      <w:tr w:rsidR="007A5904" w:rsidRPr="007A5904" w:rsidTr="00CA6F47">
        <w:tc>
          <w:tcPr>
            <w:tcW w:w="1530" w:type="dxa"/>
            <w:shd w:val="clear" w:color="auto" w:fill="D9D9D9" w:themeFill="background1" w:themeFillShade="D9"/>
          </w:tcPr>
          <w:p w:rsidR="00725770" w:rsidRPr="007A5904" w:rsidRDefault="00725770" w:rsidP="00812A5E"/>
        </w:tc>
        <w:tc>
          <w:tcPr>
            <w:tcW w:w="2164" w:type="dxa"/>
            <w:shd w:val="clear" w:color="auto" w:fill="D9D9D9" w:themeFill="background1" w:themeFillShade="D9"/>
          </w:tcPr>
          <w:p w:rsidR="00725770" w:rsidRPr="007A5904" w:rsidRDefault="00725770" w:rsidP="00812A5E"/>
        </w:tc>
        <w:tc>
          <w:tcPr>
            <w:tcW w:w="4330" w:type="dxa"/>
            <w:shd w:val="clear" w:color="auto" w:fill="D9D9D9" w:themeFill="background1" w:themeFillShade="D9"/>
          </w:tcPr>
          <w:p w:rsidR="00725770" w:rsidRPr="007A5904" w:rsidRDefault="00725770" w:rsidP="00812A5E"/>
        </w:tc>
        <w:tc>
          <w:tcPr>
            <w:tcW w:w="2600" w:type="dxa"/>
            <w:shd w:val="clear" w:color="auto" w:fill="auto"/>
          </w:tcPr>
          <w:p w:rsidR="00725770" w:rsidRPr="007A5904" w:rsidRDefault="00725770" w:rsidP="00812A5E">
            <w:pPr>
              <w:rPr>
                <w:b/>
              </w:rPr>
            </w:pPr>
            <w:r w:rsidRPr="007A5904">
              <w:rPr>
                <w:b/>
              </w:rPr>
              <w:t>106</w:t>
            </w:r>
          </w:p>
        </w:tc>
        <w:tc>
          <w:tcPr>
            <w:tcW w:w="1084" w:type="dxa"/>
            <w:shd w:val="clear" w:color="auto" w:fill="auto"/>
          </w:tcPr>
          <w:p w:rsidR="00725770" w:rsidRPr="007A5904" w:rsidRDefault="007A5904" w:rsidP="00812A5E">
            <w:pPr>
              <w:rPr>
                <w:b/>
              </w:rPr>
            </w:pPr>
            <w:r w:rsidRPr="007A5904">
              <w:rPr>
                <w:b/>
              </w:rPr>
              <w:t>70</w:t>
            </w:r>
          </w:p>
        </w:tc>
        <w:tc>
          <w:tcPr>
            <w:tcW w:w="1149" w:type="dxa"/>
            <w:shd w:val="clear" w:color="auto" w:fill="auto"/>
          </w:tcPr>
          <w:p w:rsidR="00725770" w:rsidRPr="007A5904" w:rsidRDefault="00725770" w:rsidP="00812A5E">
            <w:pPr>
              <w:rPr>
                <w:b/>
              </w:rPr>
            </w:pPr>
            <w:r w:rsidRPr="007A5904">
              <w:rPr>
                <w:b/>
              </w:rPr>
              <w:t>10</w:t>
            </w:r>
          </w:p>
        </w:tc>
        <w:tc>
          <w:tcPr>
            <w:tcW w:w="1091" w:type="dxa"/>
            <w:shd w:val="clear" w:color="auto" w:fill="auto"/>
          </w:tcPr>
          <w:p w:rsidR="00725770" w:rsidRPr="007A5904" w:rsidRDefault="00725770" w:rsidP="00812A5E">
            <w:pPr>
              <w:rPr>
                <w:b/>
              </w:rPr>
            </w:pPr>
            <w:r w:rsidRPr="007A5904">
              <w:rPr>
                <w:b/>
              </w:rPr>
              <w:t>2</w:t>
            </w:r>
          </w:p>
        </w:tc>
      </w:tr>
    </w:tbl>
    <w:p w:rsidR="005543E5" w:rsidRDefault="005543E5" w:rsidP="008A22C6">
      <w:pPr>
        <w:rPr>
          <w:b/>
        </w:rPr>
      </w:pPr>
    </w:p>
    <w:p w:rsidR="007A5904" w:rsidRDefault="007A5904" w:rsidP="008A22C6">
      <w:pPr>
        <w:rPr>
          <w:b/>
        </w:rPr>
      </w:pPr>
    </w:p>
    <w:sectPr w:rsidR="007A5904" w:rsidSect="007C3EE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04" w:rsidRDefault="007A5904" w:rsidP="007A5904">
      <w:r>
        <w:separator/>
      </w:r>
    </w:p>
  </w:endnote>
  <w:endnote w:type="continuationSeparator" w:id="0">
    <w:p w:rsidR="007A5904" w:rsidRDefault="007A5904" w:rsidP="007A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04" w:rsidRPr="007A5904" w:rsidRDefault="007A5904" w:rsidP="007A5904">
    <w:pPr>
      <w:rPr>
        <w:i/>
      </w:rPr>
    </w:pPr>
    <w:r>
      <w:rPr>
        <w:i/>
      </w:rPr>
      <w:t>*</w:t>
    </w:r>
    <w:r w:rsidRPr="007A5904">
      <w:rPr>
        <w:i/>
      </w:rPr>
      <w:t>Cabinet response did not indicate whether recommendations agreed, agreed in part, or not agreed.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04" w:rsidRDefault="007A5904" w:rsidP="007A5904">
      <w:r>
        <w:separator/>
      </w:r>
    </w:p>
  </w:footnote>
  <w:footnote w:type="continuationSeparator" w:id="0">
    <w:p w:rsidR="007A5904" w:rsidRDefault="007A5904" w:rsidP="007A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164"/>
    <w:multiLevelType w:val="hybridMultilevel"/>
    <w:tmpl w:val="15D63952"/>
    <w:lvl w:ilvl="0" w:tplc="8924B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11EA"/>
    <w:multiLevelType w:val="hybridMultilevel"/>
    <w:tmpl w:val="78643352"/>
    <w:lvl w:ilvl="0" w:tplc="7D20A8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7"/>
    <w:rsid w:val="000B4310"/>
    <w:rsid w:val="001278AB"/>
    <w:rsid w:val="001711DD"/>
    <w:rsid w:val="004000D7"/>
    <w:rsid w:val="00504E43"/>
    <w:rsid w:val="005543E5"/>
    <w:rsid w:val="005F17FD"/>
    <w:rsid w:val="00706FDA"/>
    <w:rsid w:val="00725770"/>
    <w:rsid w:val="007908F4"/>
    <w:rsid w:val="007A5904"/>
    <w:rsid w:val="007C3EE7"/>
    <w:rsid w:val="00850290"/>
    <w:rsid w:val="008A22C6"/>
    <w:rsid w:val="00A64C2E"/>
    <w:rsid w:val="00A80990"/>
    <w:rsid w:val="00A825A4"/>
    <w:rsid w:val="00C07F80"/>
    <w:rsid w:val="00CA6F4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F94F9-7FAC-48BA-977F-8690F28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04"/>
  </w:style>
  <w:style w:type="paragraph" w:styleId="Footer">
    <w:name w:val="footer"/>
    <w:basedOn w:val="Normal"/>
    <w:link w:val="FooterChar"/>
    <w:uiPriority w:val="99"/>
    <w:unhideWhenUsed/>
    <w:rsid w:val="007A5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4D4E-54E1-4E31-BB98-9D3EC0D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AD112245</Template>
  <TotalTime>111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 Richard</dc:creator>
  <cp:keywords/>
  <dc:description/>
  <cp:lastModifiedBy>COURTNEY Alice</cp:lastModifiedBy>
  <cp:revision>5</cp:revision>
  <dcterms:created xsi:type="dcterms:W3CDTF">2023-04-24T10:00:00Z</dcterms:created>
  <dcterms:modified xsi:type="dcterms:W3CDTF">2023-06-28T10:38:00Z</dcterms:modified>
</cp:coreProperties>
</file>